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0164" w:rsidRDefault="00730C76">
      <w:pPr>
        <w:rPr>
          <w:rFonts w:ascii="Arial" w:eastAsia="Arial" w:hAnsi="Arial" w:cs="Arial"/>
          <w:b/>
          <w:sz w:val="36"/>
          <w:szCs w:val="36"/>
        </w:rPr>
      </w:pPr>
      <w:bookmarkStart w:id="0" w:name="_GoBack"/>
      <w:bookmarkEnd w:id="0"/>
      <w:r>
        <w:rPr>
          <w:rFonts w:ascii="Arial" w:eastAsia="Arial" w:hAnsi="Arial" w:cs="Arial"/>
          <w:b/>
          <w:sz w:val="36"/>
          <w:szCs w:val="36"/>
        </w:rPr>
        <w:t>Framework Schedule 3 (Framework Prices)</w:t>
      </w:r>
    </w:p>
    <w:p w:rsidR="007D0164" w:rsidRDefault="00730C76">
      <w:pPr>
        <w:numPr>
          <w:ilvl w:val="0"/>
          <w:numId w:val="1"/>
        </w:numPr>
        <w:pBdr>
          <w:top w:val="nil"/>
          <w:left w:val="nil"/>
          <w:bottom w:val="nil"/>
          <w:right w:val="nil"/>
          <w:between w:val="nil"/>
        </w:pBdr>
        <w:tabs>
          <w:tab w:val="left" w:pos="142"/>
        </w:tabs>
        <w:spacing w:before="120" w:after="240" w:line="240" w:lineRule="auto"/>
        <w:jc w:val="both"/>
      </w:pPr>
      <w:bookmarkStart w:id="1" w:name="_heading=h.gjdgxs" w:colFirst="0" w:colLast="0"/>
      <w:bookmarkEnd w:id="1"/>
      <w:r>
        <w:rPr>
          <w:rFonts w:ascii="Arial" w:eastAsia="Arial" w:hAnsi="Arial" w:cs="Arial"/>
          <w:b/>
          <w:color w:val="000000"/>
          <w:sz w:val="24"/>
          <w:szCs w:val="24"/>
        </w:rPr>
        <w:t>How Framework Prices are used to calculate Call-Off Charges</w:t>
      </w:r>
    </w:p>
    <w:p w:rsidR="007D0164" w:rsidRDefault="00730C7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882EC2" w:rsidRDefault="00882EC2">
      <w:pPr>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7D0164" w:rsidRDefault="00730C76">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7D0164" w:rsidRDefault="00730C7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7D0164" w:rsidRDefault="00730C76">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7D0164" w:rsidRDefault="00730C76">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w:t>
      </w:r>
      <w:r>
        <w:rPr>
          <w:rFonts w:ascii="Arial" w:eastAsia="Arial" w:hAnsi="Arial" w:cs="Arial"/>
          <w:color w:val="000000"/>
          <w:sz w:val="24"/>
          <w:szCs w:val="24"/>
        </w:rPr>
        <w:t>ally permitted by the Call Off Contract and in particular shall only be subject to Indexation where specifically stated in the Order Form; and</w:t>
      </w:r>
    </w:p>
    <w:p w:rsidR="007D0164" w:rsidRDefault="00730C76">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not be impacted by any change to the Framework Prices.</w:t>
      </w:r>
    </w:p>
    <w:p w:rsidR="007D0164" w:rsidRDefault="00730C7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Any variation to the Charges payable under a Call Of</w:t>
      </w:r>
      <w:r>
        <w:rPr>
          <w:rFonts w:ascii="Arial" w:eastAsia="Arial" w:hAnsi="Arial" w:cs="Arial"/>
          <w:color w:val="000000"/>
          <w:sz w:val="24"/>
          <w:szCs w:val="24"/>
        </w:rPr>
        <w:t>f Contract must be agreed between the Supplier and the Buyer and implemented using the same procedure for altering Framework Prices in accordance with the provisions of this Framework Schedule 3</w:t>
      </w:r>
      <w:r>
        <w:rPr>
          <w:rFonts w:ascii="Arial" w:eastAsia="Arial" w:hAnsi="Arial" w:cs="Arial"/>
          <w:sz w:val="24"/>
          <w:szCs w:val="24"/>
        </w:rPr>
        <w:t>.</w:t>
      </w:r>
    </w:p>
    <w:p w:rsidR="007D0164" w:rsidRDefault="00730C76">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7D0164" w:rsidRDefault="00730C7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rsidR="007D0164" w:rsidRDefault="00730C76">
      <w:pPr>
        <w:numPr>
          <w:ilvl w:val="0"/>
          <w:numId w:val="1"/>
        </w:numPr>
        <w:pBdr>
          <w:top w:val="nil"/>
          <w:left w:val="nil"/>
          <w:bottom w:val="nil"/>
          <w:right w:val="nil"/>
          <w:between w:val="nil"/>
        </w:pBdr>
        <w:tabs>
          <w:tab w:val="left" w:pos="142"/>
        </w:tabs>
        <w:spacing w:before="120" w:after="240" w:line="240" w:lineRule="auto"/>
        <w:jc w:val="both"/>
      </w:pPr>
      <w:bookmarkStart w:id="3" w:name="_heading=h.1fob9te" w:colFirst="0" w:colLast="0"/>
      <w:bookmarkEnd w:id="3"/>
      <w:r>
        <w:rPr>
          <w:rFonts w:ascii="Arial" w:eastAsia="Arial" w:hAnsi="Arial" w:cs="Arial"/>
          <w:b/>
          <w:sz w:val="24"/>
          <w:szCs w:val="24"/>
        </w:rPr>
        <w:t>Not used</w:t>
      </w:r>
    </w:p>
    <w:p w:rsidR="007D0164" w:rsidRDefault="00730C76">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7D0164" w:rsidRDefault="00730C7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will be fixed for the first </w:t>
      </w:r>
      <w:r>
        <w:rPr>
          <w:rFonts w:ascii="Arial" w:eastAsia="Arial" w:hAnsi="Arial" w:cs="Arial"/>
          <w:b/>
          <w:sz w:val="24"/>
          <w:szCs w:val="24"/>
        </w:rPr>
        <w:t>1</w:t>
      </w:r>
      <w:r>
        <w:rPr>
          <w:rFonts w:ascii="Arial" w:eastAsia="Arial" w:hAnsi="Arial" w:cs="Arial"/>
          <w:color w:val="000000"/>
          <w:sz w:val="24"/>
          <w:szCs w:val="24"/>
        </w:rPr>
        <w:t xml:space="preserve"> y</w:t>
      </w:r>
      <w:r>
        <w:rPr>
          <w:rFonts w:ascii="Arial" w:eastAsia="Arial" w:hAnsi="Arial" w:cs="Arial"/>
          <w:color w:val="000000"/>
          <w:sz w:val="24"/>
          <w:szCs w:val="24"/>
        </w:rPr>
        <w:t>ear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r>
        <w:rPr>
          <w:rFonts w:ascii="Arial" w:eastAsia="Arial" w:hAnsi="Arial" w:cs="Arial"/>
          <w:color w:val="000000"/>
          <w:sz w:val="24"/>
          <w:szCs w:val="24"/>
        </w:rPr>
        <w:t>).</w:t>
      </w:r>
    </w:p>
    <w:p w:rsidR="007D0164" w:rsidRDefault="00730C7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The Supplier shall give CCS at least three (3) Months' notice in writing prior to a Review Date where it wants to request an increase.  If the Supplier does not give notice in time then it will only be able to request an increase prior to the next Revie</w:t>
      </w:r>
      <w:r>
        <w:rPr>
          <w:rFonts w:ascii="Arial" w:eastAsia="Arial" w:hAnsi="Arial" w:cs="Arial"/>
          <w:color w:val="000000"/>
          <w:sz w:val="24"/>
          <w:szCs w:val="24"/>
        </w:rPr>
        <w:t>w Date.</w:t>
      </w:r>
    </w:p>
    <w:p w:rsidR="007D0164" w:rsidRDefault="00730C7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7D0164" w:rsidRDefault="00730C76">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rsidR="007D0164" w:rsidRDefault="00730C76">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lastRenderedPageBreak/>
        <w:t>for each Framework Price under review, written evidence of the justification for the requested increase including:</w:t>
      </w:r>
    </w:p>
    <w:p w:rsidR="007D0164" w:rsidRDefault="007D0164">
      <w:pPr>
        <w:pBdr>
          <w:top w:val="nil"/>
          <w:left w:val="nil"/>
          <w:bottom w:val="nil"/>
          <w:right w:val="nil"/>
          <w:between w:val="nil"/>
        </w:pBdr>
        <w:tabs>
          <w:tab w:val="left" w:pos="1985"/>
          <w:tab w:val="left" w:pos="2127"/>
        </w:tabs>
        <w:spacing w:before="120" w:after="120" w:line="240" w:lineRule="auto"/>
        <w:ind w:hanging="1701"/>
        <w:rPr>
          <w:rFonts w:ascii="Arial" w:eastAsia="Arial" w:hAnsi="Arial" w:cs="Arial"/>
          <w:color w:val="000000"/>
          <w:sz w:val="24"/>
          <w:szCs w:val="24"/>
        </w:rPr>
      </w:pPr>
    </w:p>
    <w:p w:rsidR="007D0164" w:rsidRDefault="00730C7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rsidR="007D0164" w:rsidRDefault="00730C7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 late</w:t>
      </w:r>
      <w:r>
        <w:rPr>
          <w:rFonts w:ascii="Arial" w:eastAsia="Arial" w:hAnsi="Arial" w:cs="Arial"/>
          <w:color w:val="000000"/>
          <w:sz w:val="24"/>
          <w:szCs w:val="24"/>
        </w:rPr>
        <w:t>r date as CCS may determine at its sole discretion and Annex 1 shall be updated accordingly.</w:t>
      </w:r>
    </w:p>
    <w:p w:rsidR="007D0164" w:rsidRDefault="00730C76">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rsidR="007D0164" w:rsidRDefault="00730C7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7D0164" w:rsidRDefault="00730C76">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7D0164" w:rsidRDefault="00730C76">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7D0164" w:rsidRDefault="00730C76">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if there is no Benchmarking Schedule: a benchmarking review in accordance with Call Off Schedule 16 (Benchmarking)</w:t>
      </w:r>
    </w:p>
    <w:p w:rsidR="007D0164" w:rsidRDefault="00730C76">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w:t>
      </w:r>
      <w:r>
        <w:rPr>
          <w:rFonts w:ascii="Arial" w:eastAsia="Arial" w:hAnsi="Arial" w:cs="Arial"/>
          <w:color w:val="000000"/>
          <w:sz w:val="24"/>
          <w:szCs w:val="24"/>
        </w:rPr>
        <w:t>upplier, which it can make at any time, to decrease the Framework Prices</w:t>
      </w:r>
    </w:p>
    <w:p w:rsidR="007D0164" w:rsidRDefault="00730C76">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sz w:val="24"/>
          <w:szCs w:val="24"/>
        </w:rPr>
        <w:t>Not used</w:t>
      </w:r>
    </w:p>
    <w:p w:rsidR="007D0164" w:rsidRDefault="00730C76">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sz w:val="24"/>
          <w:szCs w:val="24"/>
        </w:rPr>
        <w:t>Not used</w:t>
      </w:r>
    </w:p>
    <w:p w:rsidR="007D0164" w:rsidRDefault="007D0164">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highlight w:val="yellow"/>
        </w:rPr>
      </w:pPr>
    </w:p>
    <w:p w:rsidR="007D0164" w:rsidRDefault="007D0164">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7D0164" w:rsidRDefault="00730C76">
      <w:pPr>
        <w:rPr>
          <w:rFonts w:ascii="Arial" w:eastAsia="Arial" w:hAnsi="Arial" w:cs="Arial"/>
          <w:b/>
          <w:sz w:val="36"/>
          <w:szCs w:val="36"/>
        </w:rPr>
      </w:pPr>
      <w:bookmarkStart w:id="5" w:name="_heading=h.1t3h5sf" w:colFirst="0" w:colLast="0"/>
      <w:bookmarkEnd w:id="5"/>
      <w:r>
        <w:br w:type="page"/>
      </w:r>
      <w:r>
        <w:rPr>
          <w:rFonts w:ascii="Arial" w:eastAsia="Arial" w:hAnsi="Arial" w:cs="Arial"/>
          <w:b/>
          <w:sz w:val="36"/>
          <w:szCs w:val="36"/>
        </w:rPr>
        <w:lastRenderedPageBreak/>
        <w:t>Annex 1: Rates and Prices</w:t>
      </w:r>
    </w:p>
    <w:p w:rsidR="007D0164" w:rsidRDefault="00730C76">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Time and Materials</w:t>
      </w:r>
    </w:p>
    <w:p w:rsidR="007D0164" w:rsidRDefault="00730C76">
      <w:pPr>
        <w:keepNext/>
        <w:pBdr>
          <w:top w:val="nil"/>
          <w:left w:val="nil"/>
          <w:bottom w:val="nil"/>
          <w:right w:val="nil"/>
          <w:between w:val="nil"/>
        </w:pBdr>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The Supplier (and its Sub-Contractor) shall not be entitled to include any uplift for risks or contingencies within its day rates</w:t>
      </w:r>
    </w:p>
    <w:p w:rsidR="007D0164" w:rsidRDefault="00730C76">
      <w:pPr>
        <w:pBdr>
          <w:top w:val="nil"/>
          <w:left w:val="nil"/>
          <w:bottom w:val="nil"/>
          <w:right w:val="nil"/>
          <w:between w:val="nil"/>
        </w:pBdr>
        <w:spacing w:before="240" w:after="120" w:line="240" w:lineRule="auto"/>
        <w:rPr>
          <w:rFonts w:ascii="Arial" w:eastAsia="Arial" w:hAnsi="Arial" w:cs="Arial"/>
          <w:b/>
          <w:i/>
          <w:color w:val="000000"/>
          <w:sz w:val="24"/>
          <w:szCs w:val="24"/>
        </w:rPr>
      </w:pPr>
      <w:r>
        <w:rPr>
          <w:rFonts w:ascii="Arial" w:eastAsia="Arial" w:hAnsi="Arial" w:cs="Arial"/>
          <w:i/>
          <w:color w:val="000000"/>
          <w:sz w:val="24"/>
          <w:szCs w:val="24"/>
        </w:rPr>
        <w:t>The rates below shall [not] be subject to variation by way of Indexation</w:t>
      </w:r>
    </w:p>
    <w:tbl>
      <w:tblPr>
        <w:tblStyle w:val="3"/>
        <w:tblW w:w="9016"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450"/>
        <w:gridCol w:w="4566"/>
      </w:tblGrid>
      <w:tr w:rsidR="007D0164">
        <w:tc>
          <w:tcPr>
            <w:tcW w:w="4450" w:type="dxa"/>
            <w:shd w:val="clear" w:color="auto" w:fill="548DD4"/>
          </w:tcPr>
          <w:p w:rsidR="007D0164" w:rsidRDefault="00730C76">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Staff Grade</w:t>
            </w:r>
          </w:p>
        </w:tc>
        <w:tc>
          <w:tcPr>
            <w:tcW w:w="4566" w:type="dxa"/>
            <w:shd w:val="clear" w:color="auto" w:fill="548DD4"/>
          </w:tcPr>
          <w:p w:rsidR="007D0164" w:rsidRDefault="00730C76">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Day Rate (£)</w:t>
            </w:r>
          </w:p>
        </w:tc>
      </w:tr>
      <w:tr w:rsidR="007D0164">
        <w:tc>
          <w:tcPr>
            <w:tcW w:w="4450" w:type="dxa"/>
          </w:tcPr>
          <w:p w:rsidR="007D0164" w:rsidRDefault="007D0164">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4566" w:type="dxa"/>
          </w:tcPr>
          <w:p w:rsidR="007D0164" w:rsidRDefault="007D0164">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7D0164">
        <w:tc>
          <w:tcPr>
            <w:tcW w:w="4450" w:type="dxa"/>
          </w:tcPr>
          <w:p w:rsidR="007D0164" w:rsidRDefault="007D0164">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4566" w:type="dxa"/>
          </w:tcPr>
          <w:p w:rsidR="007D0164" w:rsidRDefault="007D0164">
            <w:pPr>
              <w:keepNext/>
              <w:pBdr>
                <w:top w:val="nil"/>
                <w:left w:val="nil"/>
                <w:bottom w:val="nil"/>
                <w:right w:val="nil"/>
                <w:between w:val="nil"/>
              </w:pBdr>
              <w:spacing w:before="240" w:after="120"/>
              <w:ind w:left="142"/>
              <w:rPr>
                <w:rFonts w:ascii="Arial" w:eastAsia="Arial" w:hAnsi="Arial" w:cs="Arial"/>
                <w:color w:val="000000"/>
                <w:sz w:val="24"/>
                <w:szCs w:val="24"/>
              </w:rPr>
            </w:pPr>
          </w:p>
        </w:tc>
      </w:tr>
    </w:tbl>
    <w:p w:rsidR="007D0164" w:rsidRDefault="00730C76">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2: Fixed Prices</w:t>
      </w:r>
    </w:p>
    <w:p w:rsidR="007D0164" w:rsidRDefault="00730C76">
      <w:pPr>
        <w:pBdr>
          <w:top w:val="nil"/>
          <w:left w:val="nil"/>
          <w:bottom w:val="nil"/>
          <w:right w:val="nil"/>
          <w:between w:val="nil"/>
        </w:pBdr>
        <w:spacing w:before="240" w:after="120" w:line="240" w:lineRule="auto"/>
        <w:rPr>
          <w:rFonts w:ascii="Arial" w:eastAsia="Arial" w:hAnsi="Arial" w:cs="Arial"/>
          <w:b/>
          <w:i/>
          <w:color w:val="000000"/>
          <w:sz w:val="24"/>
          <w:szCs w:val="24"/>
        </w:rPr>
      </w:pPr>
      <w:r>
        <w:rPr>
          <w:rFonts w:ascii="Arial" w:eastAsia="Arial" w:hAnsi="Arial" w:cs="Arial"/>
          <w:color w:val="000000"/>
          <w:sz w:val="24"/>
          <w:szCs w:val="24"/>
        </w:rPr>
        <w:t>The rates below shall [not] be subject to variation by way of Indexation</w:t>
      </w:r>
    </w:p>
    <w:tbl>
      <w:tblPr>
        <w:tblStyle w:val="2"/>
        <w:tblW w:w="9016"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08"/>
        <w:gridCol w:w="4508"/>
      </w:tblGrid>
      <w:tr w:rsidR="007D0164">
        <w:tc>
          <w:tcPr>
            <w:tcW w:w="4508" w:type="dxa"/>
            <w:shd w:val="clear" w:color="auto" w:fill="548DD4"/>
          </w:tcPr>
          <w:p w:rsidR="007D0164" w:rsidRDefault="00730C76">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Framework Price</w:t>
            </w:r>
          </w:p>
        </w:tc>
        <w:tc>
          <w:tcPr>
            <w:tcW w:w="4508" w:type="dxa"/>
            <w:shd w:val="clear" w:color="auto" w:fill="548DD4"/>
          </w:tcPr>
          <w:p w:rsidR="007D0164" w:rsidRDefault="00730C76">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Fixed Framework Price (£)</w:t>
            </w:r>
          </w:p>
        </w:tc>
      </w:tr>
      <w:tr w:rsidR="007D0164">
        <w:tc>
          <w:tcPr>
            <w:tcW w:w="4508" w:type="dxa"/>
          </w:tcPr>
          <w:p w:rsidR="007D0164" w:rsidRDefault="00730C76">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M3]</w:t>
            </w:r>
          </w:p>
        </w:tc>
        <w:tc>
          <w:tcPr>
            <w:tcW w:w="4508" w:type="dxa"/>
            <w:shd w:val="clear" w:color="auto" w:fill="FFFFFF"/>
          </w:tcPr>
          <w:p w:rsidR="007D0164" w:rsidRDefault="007D0164">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7D0164">
        <w:tc>
          <w:tcPr>
            <w:tcW w:w="4508" w:type="dxa"/>
          </w:tcPr>
          <w:p w:rsidR="007D0164" w:rsidRDefault="00730C76">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SC3]</w:t>
            </w:r>
          </w:p>
        </w:tc>
        <w:tc>
          <w:tcPr>
            <w:tcW w:w="4508" w:type="dxa"/>
            <w:shd w:val="clear" w:color="auto" w:fill="FFFFFF"/>
          </w:tcPr>
          <w:p w:rsidR="007D0164" w:rsidRDefault="007D0164">
            <w:pPr>
              <w:keepNext/>
              <w:pBdr>
                <w:top w:val="nil"/>
                <w:left w:val="nil"/>
                <w:bottom w:val="nil"/>
                <w:right w:val="nil"/>
                <w:between w:val="nil"/>
              </w:pBdr>
              <w:spacing w:before="240" w:after="120"/>
              <w:ind w:left="142"/>
              <w:rPr>
                <w:rFonts w:ascii="Arial" w:eastAsia="Arial" w:hAnsi="Arial" w:cs="Arial"/>
                <w:color w:val="000000"/>
                <w:sz w:val="24"/>
                <w:szCs w:val="24"/>
              </w:rPr>
            </w:pPr>
          </w:p>
        </w:tc>
      </w:tr>
    </w:tbl>
    <w:p w:rsidR="007D0164" w:rsidRDefault="007D0164">
      <w:pPr>
        <w:rPr>
          <w:rFonts w:ascii="Arial" w:eastAsia="Arial" w:hAnsi="Arial" w:cs="Arial"/>
          <w:b/>
          <w:smallCaps/>
          <w:sz w:val="24"/>
          <w:szCs w:val="24"/>
        </w:rPr>
      </w:pPr>
      <w:bookmarkStart w:id="6" w:name="_heading=h.4d34og8" w:colFirst="0" w:colLast="0"/>
      <w:bookmarkEnd w:id="6"/>
    </w:p>
    <w:p w:rsidR="007D0164" w:rsidRDefault="00730C76">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3: Volume Based Prices</w:t>
      </w:r>
    </w:p>
    <w:p w:rsidR="007D0164" w:rsidRDefault="00730C76">
      <w:pPr>
        <w:pBdr>
          <w:top w:val="nil"/>
          <w:left w:val="nil"/>
          <w:bottom w:val="nil"/>
          <w:right w:val="nil"/>
          <w:between w:val="nil"/>
        </w:pBdr>
        <w:spacing w:before="240" w:after="120" w:line="240" w:lineRule="auto"/>
        <w:ind w:left="-142"/>
        <w:rPr>
          <w:rFonts w:ascii="Arial" w:eastAsia="Arial" w:hAnsi="Arial" w:cs="Arial"/>
          <w:b/>
          <w:i/>
          <w:color w:val="000000"/>
          <w:sz w:val="24"/>
          <w:szCs w:val="24"/>
        </w:rPr>
      </w:pPr>
      <w:r>
        <w:rPr>
          <w:rFonts w:ascii="Arial" w:eastAsia="Arial" w:hAnsi="Arial" w:cs="Arial"/>
          <w:color w:val="000000"/>
          <w:sz w:val="24"/>
          <w:szCs w:val="24"/>
        </w:rPr>
        <w:t>The rates below shall [not] be subject to variation by way of Indexation</w:t>
      </w:r>
    </w:p>
    <w:tbl>
      <w:tblPr>
        <w:tblStyle w:val="1"/>
        <w:tblW w:w="9016"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54"/>
        <w:gridCol w:w="2254"/>
        <w:gridCol w:w="2254"/>
        <w:gridCol w:w="2254"/>
      </w:tblGrid>
      <w:tr w:rsidR="007D0164">
        <w:tc>
          <w:tcPr>
            <w:tcW w:w="2254" w:type="dxa"/>
            <w:shd w:val="clear" w:color="auto" w:fill="548DD4"/>
          </w:tcPr>
          <w:p w:rsidR="007D0164" w:rsidRDefault="00730C76">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Framework Price Number</w:t>
            </w:r>
          </w:p>
        </w:tc>
        <w:tc>
          <w:tcPr>
            <w:tcW w:w="2254" w:type="dxa"/>
            <w:shd w:val="clear" w:color="auto" w:fill="548DD4"/>
          </w:tcPr>
          <w:p w:rsidR="007D0164" w:rsidRDefault="00730C76">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Unit</w:t>
            </w:r>
          </w:p>
        </w:tc>
        <w:tc>
          <w:tcPr>
            <w:tcW w:w="2254" w:type="dxa"/>
            <w:shd w:val="clear" w:color="auto" w:fill="548DD4"/>
          </w:tcPr>
          <w:p w:rsidR="007D0164" w:rsidRDefault="00730C76">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Number of units per Service Period</w:t>
            </w:r>
          </w:p>
        </w:tc>
        <w:tc>
          <w:tcPr>
            <w:tcW w:w="2254" w:type="dxa"/>
            <w:shd w:val="clear" w:color="auto" w:fill="548DD4"/>
          </w:tcPr>
          <w:p w:rsidR="007D0164" w:rsidRDefault="00730C76">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Charge per unit (£)</w:t>
            </w:r>
          </w:p>
        </w:tc>
      </w:tr>
      <w:tr w:rsidR="007D0164">
        <w:tc>
          <w:tcPr>
            <w:tcW w:w="2254" w:type="dxa"/>
            <w:vMerge w:val="restart"/>
          </w:tcPr>
          <w:p w:rsidR="007D0164" w:rsidRDefault="00730C76">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SC1]</w:t>
            </w:r>
          </w:p>
        </w:tc>
        <w:tc>
          <w:tcPr>
            <w:tcW w:w="2254" w:type="dxa"/>
            <w:vMerge w:val="restart"/>
          </w:tcPr>
          <w:p w:rsidR="007D0164" w:rsidRDefault="007D0164">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rsidR="007D0164" w:rsidRDefault="00730C76">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7D0164" w:rsidRDefault="00730C76">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r w:rsidR="007D0164">
        <w:trPr>
          <w:trHeight w:val="701"/>
        </w:trPr>
        <w:tc>
          <w:tcPr>
            <w:tcW w:w="2254" w:type="dxa"/>
            <w:vMerge/>
          </w:tcPr>
          <w:p w:rsidR="007D0164" w:rsidRDefault="007D0164">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vMerge/>
          </w:tcPr>
          <w:p w:rsidR="007D0164" w:rsidRDefault="007D0164">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tcPr>
          <w:p w:rsidR="007D0164" w:rsidRDefault="00730C76">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7D0164" w:rsidRDefault="00730C76">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r w:rsidR="007D0164">
        <w:tc>
          <w:tcPr>
            <w:tcW w:w="2254" w:type="dxa"/>
            <w:vMerge w:val="restart"/>
          </w:tcPr>
          <w:p w:rsidR="007D0164" w:rsidRDefault="00730C76">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SC2]</w:t>
            </w:r>
          </w:p>
        </w:tc>
        <w:tc>
          <w:tcPr>
            <w:tcW w:w="2254" w:type="dxa"/>
            <w:vMerge w:val="restart"/>
          </w:tcPr>
          <w:p w:rsidR="007D0164" w:rsidRDefault="007D0164">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rsidR="007D0164" w:rsidRDefault="00730C76">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7D0164" w:rsidRDefault="00730C76">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r w:rsidR="007D0164">
        <w:tc>
          <w:tcPr>
            <w:tcW w:w="2254" w:type="dxa"/>
            <w:vMerge/>
          </w:tcPr>
          <w:p w:rsidR="007D0164" w:rsidRDefault="007D0164">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vMerge/>
          </w:tcPr>
          <w:p w:rsidR="007D0164" w:rsidRDefault="007D0164">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tcPr>
          <w:p w:rsidR="007D0164" w:rsidRDefault="00730C76">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7D0164" w:rsidRDefault="00730C76">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bl>
    <w:p w:rsidR="007D0164" w:rsidRDefault="007D0164">
      <w:pPr>
        <w:rPr>
          <w:rFonts w:ascii="Arial" w:eastAsia="Arial" w:hAnsi="Arial" w:cs="Arial"/>
          <w:b/>
          <w:sz w:val="24"/>
          <w:szCs w:val="24"/>
        </w:rPr>
        <w:sectPr w:rsidR="007D0164">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pPr>
    </w:p>
    <w:p w:rsidR="007D0164" w:rsidRDefault="007D0164">
      <w:pPr>
        <w:rPr>
          <w:rFonts w:ascii="Arial" w:eastAsia="Arial" w:hAnsi="Arial" w:cs="Arial"/>
          <w:b/>
          <w:sz w:val="24"/>
          <w:szCs w:val="24"/>
        </w:rPr>
      </w:pPr>
    </w:p>
    <w:sectPr w:rsidR="007D0164">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0C76" w:rsidRDefault="00730C76">
      <w:pPr>
        <w:spacing w:after="0" w:line="240" w:lineRule="auto"/>
      </w:pPr>
      <w:r>
        <w:separator/>
      </w:r>
    </w:p>
  </w:endnote>
  <w:endnote w:type="continuationSeparator" w:id="0">
    <w:p w:rsidR="00730C76" w:rsidRDefault="00730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164" w:rsidRDefault="00730C7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RM1557.14L4</w:t>
    </w:r>
    <w:r>
      <w:rPr>
        <w:rFonts w:ascii="Arial" w:eastAsia="Arial" w:hAnsi="Arial" w:cs="Arial"/>
        <w:sz w:val="20"/>
        <w:szCs w:val="20"/>
      </w:rPr>
      <w:tab/>
      <w:t xml:space="preserve">                                           </w:t>
    </w:r>
  </w:p>
  <w:p w:rsidR="007D0164" w:rsidRDefault="00730C7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882EC2">
      <w:rPr>
        <w:rFonts w:ascii="Arial" w:eastAsia="Arial" w:hAnsi="Arial" w:cs="Arial"/>
        <w:color w:val="000000"/>
        <w:sz w:val="20"/>
        <w:szCs w:val="20"/>
      </w:rPr>
      <w:fldChar w:fldCharType="separate"/>
    </w:r>
    <w:r w:rsidR="00882EC2">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7D0164" w:rsidRDefault="00730C76">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164" w:rsidRDefault="00730C76">
    <w:pPr>
      <w:tabs>
        <w:tab w:val="center" w:pos="4513"/>
        <w:tab w:val="right" w:pos="9026"/>
      </w:tabs>
      <w:spacing w:after="0"/>
    </w:pPr>
    <w:r>
      <w:t>Framework Ref: RM</w:t>
    </w:r>
    <w:r>
      <w:tab/>
      <w:t xml:space="preserve">                                           </w:t>
    </w:r>
  </w:p>
  <w:p w:rsidR="007D0164" w:rsidRDefault="00730C7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7D0164" w:rsidRDefault="00730C76">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0C76" w:rsidRDefault="00730C76">
      <w:pPr>
        <w:spacing w:after="0" w:line="240" w:lineRule="auto"/>
      </w:pPr>
      <w:r>
        <w:separator/>
      </w:r>
    </w:p>
  </w:footnote>
  <w:footnote w:type="continuationSeparator" w:id="0">
    <w:p w:rsidR="00730C76" w:rsidRDefault="00730C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164" w:rsidRDefault="00730C7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7D0164" w:rsidRDefault="00730C7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164" w:rsidRDefault="00730C7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7D0164" w:rsidRDefault="00730C7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3B6EA0"/>
    <w:multiLevelType w:val="multilevel"/>
    <w:tmpl w:val="7414ACD6"/>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1B800AF"/>
    <w:multiLevelType w:val="multilevel"/>
    <w:tmpl w:val="B1DCEB4C"/>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164"/>
    <w:rsid w:val="00730C76"/>
    <w:rsid w:val="007D0164"/>
    <w:rsid w:val="00882E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BEAF72-18F3-4675-A827-2B74FBB66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pPr>
      <w:spacing w:after="0" w:line="240" w:lineRule="auto"/>
    </w:pPr>
    <w:tblPr>
      <w:tblStyleRowBandSize w:val="1"/>
      <w:tblStyleColBandSize w:val="1"/>
      <w:tblCellMar>
        <w:left w:w="115" w:type="dxa"/>
        <w:right w:w="115" w:type="dxa"/>
      </w:tblCellMar>
    </w:tblPr>
  </w:style>
  <w:style w:type="table" w:customStyle="1" w:styleId="2">
    <w:name w:val="2"/>
    <w:basedOn w:val="TableNormal"/>
    <w:pPr>
      <w:spacing w:after="0" w:line="240" w:lineRule="auto"/>
    </w:pPr>
    <w:tblPr>
      <w:tblStyleRowBandSize w:val="1"/>
      <w:tblStyleColBandSize w:val="1"/>
      <w:tblCellMar>
        <w:left w:w="115" w:type="dxa"/>
        <w:right w:w="115" w:type="dxa"/>
      </w:tblCellMar>
    </w:tblPr>
  </w:style>
  <w:style w:type="table" w:customStyle="1" w:styleId="1">
    <w:name w:val="1"/>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U/v+2jjGa0JNnGzFwQG26bEpag==">CgMxLjAyCGguZ2pkZ3hzMgloLjMwajB6bGwyCWguMWZvYjl0ZTIJaC4yZXQ5MnAwMgloLjF0M2g1c2YyCWguNGQzNG9nODgAciExR2pQWEJhS3dNRHlEU1VhQlN5YmgxTUVPaHFPTUlydEw=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551</Words>
  <Characters>3142</Characters>
  <Application>Microsoft Office Word</Application>
  <DocSecurity>0</DocSecurity>
  <Lines>26</Lines>
  <Paragraphs>7</Paragraphs>
  <ScaleCrop>false</ScaleCrop>
  <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Paul Sergison</cp:lastModifiedBy>
  <cp:revision>1</cp:revision>
  <dcterms:created xsi:type="dcterms:W3CDTF">2018-06-14T15:09:00Z</dcterms:created>
  <dcterms:modified xsi:type="dcterms:W3CDTF">2024-02-16T16:26:00Z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